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17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6"/>
        <w:gridCol w:w="8570"/>
        <w:tblGridChange w:id="0">
          <w:tblGrid>
            <w:gridCol w:w="4606"/>
            <w:gridCol w:w="85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b w:val="1"/>
                <w:color w:val="2d475e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drawing>
                <wp:inline distB="0" distT="0" distL="0" distR="0">
                  <wp:extent cx="1371600" cy="579755"/>
                  <wp:effectExtent b="0" l="0" r="0" t="0"/>
                  <wp:docPr descr="Macintosh HD:Users:Abbott:Documents:LOGOS:GSP:GSP Logo Blue_Small.png" id="1" name="image2.png"/>
                  <a:graphic>
                    <a:graphicData uri="http://schemas.openxmlformats.org/drawingml/2006/picture">
                      <pic:pic>
                        <pic:nvPicPr>
                          <pic:cNvPr descr="Macintosh HD:Users:Abbott:Documents:LOGOS:GSP:GSP Logo Blue_Small.png"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Helvetica Neue" w:cs="Helvetica Neue" w:eastAsia="Helvetica Neue" w:hAnsi="Helvetica Neue"/>
                <w:b w:val="1"/>
                <w:color w:val="2d475e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d475e"/>
                <w:sz w:val="36"/>
                <w:szCs w:val="36"/>
                <w:rtl w:val="0"/>
              </w:rPr>
              <w:t xml:space="preserve">Inquiry Activity: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Helvetica Neue" w:cs="Helvetica Neue" w:eastAsia="Helvetica Neue" w:hAnsi="Helvetica Neue"/>
                <w:color w:val="2d475e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d475e"/>
                <w:sz w:val="36"/>
                <w:szCs w:val="36"/>
                <w:rtl w:val="0"/>
              </w:rPr>
              <w:t xml:space="preserve">Unit Design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Helvetica Neue Light" w:cs="Helvetica Neue Light" w:eastAsia="Helvetica Neue Light" w:hAnsi="Helvetica Neue Light"/>
                <w:color w:val="404040"/>
                <w:sz w:val="36"/>
                <w:szCs w:val="36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404040"/>
                <w:sz w:val="36"/>
                <w:szCs w:val="36"/>
                <w:rtl w:val="0"/>
              </w:rPr>
              <w:t xml:space="preserve">Stages + Steps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Helvetica Neue" w:cs="Helvetica Neue" w:eastAsia="Helvetica Neue" w:hAnsi="Helvetica Neue"/>
                <w:b w:val="1"/>
                <w:color w:val="2d475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395.0" w:type="dxa"/>
        <w:jc w:val="left"/>
        <w:tblInd w:w="-8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3225"/>
        <w:gridCol w:w="5010"/>
        <w:gridCol w:w="5160"/>
        <w:tblGridChange w:id="0">
          <w:tblGrid>
            <w:gridCol w:w="3225"/>
            <w:gridCol w:w="5010"/>
            <w:gridCol w:w="5160"/>
          </w:tblGrid>
        </w:tblGridChange>
      </w:tblGrid>
      <w:tr>
        <w:trPr>
          <w:trHeight w:val="420" w:hRule="atLeast"/>
        </w:trPr>
        <w:tc>
          <w:tcPr>
            <w:shd w:fill="2d475e"/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Stage</w:t>
            </w:r>
          </w:p>
        </w:tc>
        <w:tc>
          <w:tcPr>
            <w:shd w:fill="2d475e"/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+</w:t>
            </w:r>
          </w:p>
        </w:tc>
        <w:tc>
          <w:tcPr>
            <w:shd w:fill="2d475e"/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ffffff"/>
                <w:rtl w:val="0"/>
              </w:rPr>
              <w:t xml:space="preserve">∆</w:t>
            </w:r>
          </w:p>
        </w:tc>
      </w:tr>
      <w:tr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Stage One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2"/>
                <w:szCs w:val="22"/>
                <w:rtl w:val="0"/>
              </w:rPr>
              <w:t xml:space="preserve">What is worth understanding?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--Enduring understandings and essential questions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--Why they matter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--Standards and indicators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--Knowledge and skills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--Transfer</w:t>
            </w:r>
          </w:p>
        </w:tc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Helvetica Neue Light" w:cs="Helvetica Neue Light" w:eastAsia="Helvetica Neue Light" w:hAnsi="Helvetica Neue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Helvetica Neue Light" w:cs="Helvetica Neue Light" w:eastAsia="Helvetica Neue Light" w:hAnsi="Helvetica Neue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Stage Two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2"/>
                <w:szCs w:val="22"/>
                <w:rtl w:val="0"/>
              </w:rPr>
              <w:t xml:space="preserve">How will students show understanding?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--Scoring criteria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--Summative assessment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Helvetica Neue Light" w:cs="Helvetica Neue Light" w:eastAsia="Helvetica Neue Light" w:hAnsi="Helvetica Neue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Stage Three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2"/>
                <w:szCs w:val="22"/>
                <w:rtl w:val="0"/>
              </w:rPr>
              <w:t xml:space="preserve">What promotes engagement, learning, and mastery?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2"/>
                <w:szCs w:val="22"/>
                <w:rtl w:val="0"/>
              </w:rPr>
              <w:t xml:space="preserve">--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Hooks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--Learning targets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--Formative assessment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--Learning experiences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--Resources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--Supports and extensions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22"/>
                <w:szCs w:val="22"/>
                <w:rtl w:val="0"/>
              </w:rPr>
              <w:t xml:space="preserve">--Engagement and accessibility</w:t>
            </w:r>
          </w:p>
        </w:tc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Helvetica Neue Light" w:cs="Helvetica Neue Light" w:eastAsia="Helvetica Neue Light" w:hAnsi="Helvetica Neue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 Light" w:cs="Helvetica Neue Light" w:eastAsia="Helvetica Neue Light" w:hAnsi="Helvetica Neue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6.0" w:type="dxa"/>
              <w:left w:w="86.0" w:type="dxa"/>
              <w:bottom w:w="86.0" w:type="dxa"/>
              <w:right w:w="86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Helvetica Neue Light" w:cs="Helvetica Neue Light" w:eastAsia="Helvetica Neue Light" w:hAnsi="Helvetica Neue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  <w:rtl w:val="0"/>
      </w:rPr>
      <w:t xml:space="preserve"> of 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263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</w:r>
  </w:p>
  <w:tbl>
    <w:tblPr>
      <w:tblStyle w:val="Table3"/>
      <w:bidiVisual w:val="0"/>
      <w:tblW w:w="9475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346"/>
      <w:gridCol w:w="8129"/>
      <w:tblGridChange w:id="0">
        <w:tblGrid>
          <w:gridCol w:w="1346"/>
          <w:gridCol w:w="8129"/>
        </w:tblGrid>
      </w:tblGridChange>
    </w:tblGrid>
    <w:tr>
      <w:trPr>
        <w:trHeight w:val="460" w:hRule="atLeast"/>
      </w:trPr>
      <w:tc>
        <w:tcPr/>
        <w:p w:rsidR="00000000" w:rsidDel="00000000" w:rsidP="00000000" w:rsidRDefault="00000000" w:rsidRPr="00000000">
          <w:pPr>
            <w:pBdr/>
            <w:ind w:right="720"/>
            <w:contextualSpacing w:val="0"/>
            <w:rPr>
              <w:rFonts w:ascii="Arial" w:cs="Arial" w:eastAsia="Arial" w:hAnsi="Arial"/>
              <w:color w:val="2c2e35"/>
              <w:sz w:val="18"/>
              <w:szCs w:val="18"/>
              <w:highlight w:val="white"/>
            </w:rPr>
          </w:pPr>
          <w:r w:rsidDel="00000000" w:rsidR="00000000" w:rsidRPr="00000000">
            <w:drawing>
              <wp:inline distB="0" distT="0" distL="0" distR="0">
                <wp:extent cx="737235" cy="259708"/>
                <wp:effectExtent b="0" l="0" r="0" t="0"/>
                <wp:docPr descr="reative Commons License" id="2" name="image4.png"/>
                <a:graphic>
                  <a:graphicData uri="http://schemas.openxmlformats.org/drawingml/2006/picture">
                    <pic:pic>
                      <pic:nvPicPr>
                        <pic:cNvPr descr="reative Commons License"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2597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pBdr/>
            <w:ind w:right="720"/>
            <w:contextualSpacing w:val="0"/>
            <w:rPr>
              <w:rFonts w:ascii="Arial" w:cs="Arial" w:eastAsia="Arial" w:hAnsi="Arial"/>
              <w:color w:val="2c2e35"/>
              <w:sz w:val="18"/>
              <w:szCs w:val="18"/>
              <w:highlight w:val="white"/>
            </w:rPr>
          </w:pPr>
          <w:r w:rsidDel="00000000" w:rsidR="00000000" w:rsidRPr="00000000">
            <w:rPr>
              <w:rFonts w:ascii="Arial" w:cs="Arial" w:eastAsia="Arial" w:hAnsi="Arial"/>
              <w:color w:val="2c2e35"/>
              <w:sz w:val="18"/>
              <w:szCs w:val="18"/>
              <w:highlight w:val="white"/>
              <w:rtl w:val="0"/>
            </w:rPr>
            <w:t xml:space="preserve">This work by </w:t>
          </w:r>
          <w:hyperlink r:id="rId2">
            <w:r w:rsidDel="00000000" w:rsidR="00000000" w:rsidRPr="00000000">
              <w:rPr>
                <w:rFonts w:ascii="Arial" w:cs="Arial" w:eastAsia="Arial" w:hAnsi="Arial"/>
                <w:color w:val="365a76"/>
                <w:sz w:val="18"/>
                <w:szCs w:val="18"/>
                <w:highlight w:val="white"/>
                <w:u w:val="single"/>
                <w:rtl w:val="0"/>
              </w:rPr>
              <w:t xml:space="preserve">Great Schools Partnership</w:t>
            </w:r>
          </w:hyperlink>
          <w:r w:rsidDel="00000000" w:rsidR="00000000" w:rsidRPr="00000000">
            <w:rPr>
              <w:rFonts w:ascii="Arial" w:cs="Arial" w:eastAsia="Arial" w:hAnsi="Arial"/>
              <w:color w:val="2c2e35"/>
              <w:sz w:val="18"/>
              <w:szCs w:val="18"/>
              <w:highlight w:val="white"/>
              <w:rtl w:val="0"/>
            </w:rPr>
            <w:t xml:space="preserve"> is licensed under a </w:t>
          </w:r>
          <w:hyperlink r:id="rId3">
            <w:r w:rsidDel="00000000" w:rsidR="00000000" w:rsidRPr="00000000">
              <w:rPr>
                <w:rFonts w:ascii="Arial" w:cs="Arial" w:eastAsia="Arial" w:hAnsi="Arial"/>
                <w:color w:val="365a76"/>
                <w:sz w:val="18"/>
                <w:szCs w:val="18"/>
                <w:highlight w:val="white"/>
                <w:u w:val="single"/>
                <w:rtl w:val="0"/>
              </w:rPr>
              <w:t xml:space="preserve">Creative Commons Attribution-NonCommercial-ShareAlike 4.0 International License</w:t>
            </w:r>
          </w:hyperlink>
          <w:r w:rsidDel="00000000" w:rsidR="00000000" w:rsidRPr="00000000">
            <w:rPr>
              <w:rFonts w:ascii="Arial" w:cs="Arial" w:eastAsia="Arial" w:hAnsi="Arial"/>
              <w:color w:val="2c2e35"/>
              <w:sz w:val="18"/>
              <w:szCs w:val="18"/>
              <w:highlight w:val="white"/>
              <w:rtl w:val="0"/>
            </w:rPr>
            <w:t xml:space="preserve">.</w:t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2630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  <w:rtl w:val="0"/>
      </w:rPr>
      <w:t xml:space="preserve">Last revised 7.20.16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7f7f7f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greatschoolspartnership.org/" TargetMode="External"/><Relationship Id="rId3" Type="http://schemas.openxmlformats.org/officeDocument/2006/relationships/hyperlink" Target="http://creativecommons.org/licenses/by-nc-sa/4.0/" TargetMode="External"/></Relationships>
</file>